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hint="cs"/>
          <w:sz w:val="28"/>
          <w:szCs w:val="28"/>
          <w:rtl/>
          <w:lang w:bidi="fa-IR"/>
        </w:rPr>
        <w:t>بهبود رسانایی حرارتی با میله تولید گرما با انتقال و تابش طبیعی</w:t>
      </w:r>
    </w:p>
    <w:p w:rsidR="00B605C6" w:rsidRPr="002D6B8F" w:rsidRDefault="00B605C6" w:rsidP="00B605C6">
      <w:pPr>
        <w:bidi/>
        <w:spacing w:line="360" w:lineRule="auto"/>
        <w:ind w:left="1701" w:right="1134"/>
        <w:jc w:val="highKashida"/>
        <w:rPr>
          <w:rFonts w:asciiTheme="majorBidi" w:hAnsiTheme="majorBidi" w:cs="B Nazanin"/>
          <w:b/>
          <w:bCs/>
          <w:sz w:val="28"/>
          <w:szCs w:val="28"/>
          <w:rtl/>
          <w:lang w:bidi="fa-IR"/>
        </w:rPr>
      </w:pPr>
      <w:bookmarkStart w:id="0" w:name="_GoBack"/>
      <w:bookmarkEnd w:id="0"/>
      <w:r w:rsidRPr="002D6B8F">
        <w:rPr>
          <w:rFonts w:asciiTheme="majorBidi" w:hAnsiTheme="majorBidi" w:cs="B Nazanin"/>
          <w:b/>
          <w:bCs/>
          <w:sz w:val="28"/>
          <w:szCs w:val="28"/>
          <w:rtl/>
          <w:lang w:bidi="fa-IR"/>
        </w:rPr>
        <w:t xml:space="preserve">چكيده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sz w:val="28"/>
          <w:szCs w:val="28"/>
          <w:rtl/>
          <w:lang w:bidi="fa-IR"/>
        </w:rPr>
        <w:t xml:space="preserve">بررسي و مطالعه ي عددي تابش سطحي و انتقال گرماي طبيعي به طور توأم در يك پوشش افقي شش وجهي حاوي 19 ميله سخت توليد كننده ي گرما به همراه روكش فلزي و آرگون به عنوان گاز پركننده ، انجام شد. انتقال طبيعي گرما در پوشش توسط توليد گرماي حجمي در ميله هاي سخت ، ايجاد مي شود. مشكل توسط استفاده از كد </w:t>
      </w:r>
      <w:r w:rsidRPr="002D6B8F">
        <w:rPr>
          <w:rFonts w:asciiTheme="majorBidi" w:hAnsiTheme="majorBidi" w:cs="B Nazanin"/>
          <w:sz w:val="28"/>
          <w:szCs w:val="28"/>
          <w:lang w:bidi="fa-IR"/>
        </w:rPr>
        <w:t>FLUENT CFD</w:t>
      </w:r>
      <w:r w:rsidRPr="002D6B8F">
        <w:rPr>
          <w:rFonts w:asciiTheme="majorBidi" w:hAnsiTheme="majorBidi" w:cs="B Nazanin"/>
          <w:sz w:val="28"/>
          <w:szCs w:val="28"/>
          <w:rtl/>
          <w:lang w:bidi="fa-IR"/>
        </w:rPr>
        <w:t xml:space="preserve"> حل شده است. رابطه اي براي پيش بيني ماكسيمم دما در دسته ميله براي نسبت هاي متفاوت </w:t>
      </w:r>
      <w:r w:rsidRPr="002D6B8F">
        <w:rPr>
          <w:rFonts w:asciiTheme="majorBidi" w:hAnsiTheme="majorBidi" w:cs="B Nazanin"/>
          <w:sz w:val="28"/>
          <w:szCs w:val="28"/>
          <w:lang w:bidi="fa-IR"/>
        </w:rPr>
        <w:t>pitch</w:t>
      </w:r>
      <w:r w:rsidRPr="002D6B8F">
        <w:rPr>
          <w:rFonts w:asciiTheme="majorBidi" w:hAnsiTheme="majorBidi" w:cs="B Nazanin"/>
          <w:sz w:val="28"/>
          <w:szCs w:val="28"/>
          <w:rtl/>
          <w:lang w:bidi="fa-IR"/>
        </w:rPr>
        <w:t xml:space="preserve"> ـ به ـ قطر و نسبت هاي توليد گرما ، به دست آمد. رسانايي گرمايي مؤثر وابسته به نسبت توليد گرما ، ماكسيمم دما و دماي پوشش مي باشد. نتايج براي دماي ماكسيمم بدون بعد ، عدد </w:t>
      </w:r>
      <w:r w:rsidRPr="002D6B8F">
        <w:rPr>
          <w:rFonts w:asciiTheme="majorBidi" w:hAnsiTheme="majorBidi" w:cs="B Nazanin"/>
          <w:sz w:val="28"/>
          <w:szCs w:val="28"/>
          <w:lang w:bidi="fa-IR"/>
        </w:rPr>
        <w:t>Rayleigh</w:t>
      </w:r>
      <w:r w:rsidRPr="002D6B8F">
        <w:rPr>
          <w:rFonts w:asciiTheme="majorBidi" w:hAnsiTheme="majorBidi" w:cs="B Nazanin"/>
          <w:sz w:val="28"/>
          <w:szCs w:val="28"/>
          <w:rtl/>
          <w:lang w:bidi="fa-IR"/>
        </w:rPr>
        <w:t xml:space="preserve"> و تناسب و نسبت تابش با تغييرات انتشار ، توان كل ، و نسبت </w:t>
      </w:r>
      <w:r w:rsidRPr="002D6B8F">
        <w:rPr>
          <w:rFonts w:asciiTheme="majorBidi" w:hAnsiTheme="majorBidi" w:cs="B Nazanin"/>
          <w:sz w:val="28"/>
          <w:szCs w:val="28"/>
          <w:lang w:bidi="fa-IR"/>
        </w:rPr>
        <w:t>pitch</w:t>
      </w:r>
      <w:r w:rsidRPr="002D6B8F">
        <w:rPr>
          <w:rFonts w:asciiTheme="majorBidi" w:hAnsiTheme="majorBidi" w:cs="B Nazanin"/>
          <w:sz w:val="28"/>
          <w:szCs w:val="28"/>
          <w:rtl/>
          <w:lang w:bidi="fa-IR"/>
        </w:rPr>
        <w:t xml:space="preserve"> به قطر ، ارائه شده اند. دو شبيه سازي سيستم بزرگتر كه متشكل از يك دسته ميله مي باشد ، رسانايي گرمايي مؤثر ، را آسانتر مي كند. مطالعات پارامتري نشان داد كه نسبت و سهم تابش ، براي گستره هاي پارامتري انتخاب شده ، %65-38 كل توليد گرما مي باشد. داده ها و اطلاعات در </w:t>
      </w:r>
      <w:r w:rsidRPr="002D6B8F">
        <w:rPr>
          <w:rFonts w:asciiTheme="majorBidi" w:hAnsiTheme="majorBidi" w:cs="B Nazanin"/>
          <w:sz w:val="28"/>
          <w:szCs w:val="28"/>
          <w:rtl/>
          <w:lang w:bidi="fa-IR"/>
        </w:rPr>
        <w:lastRenderedPageBreak/>
        <w:t xml:space="preserve">مورد عدد </w:t>
      </w:r>
      <w:r w:rsidRPr="002D6B8F">
        <w:rPr>
          <w:rFonts w:asciiTheme="majorBidi" w:hAnsiTheme="majorBidi" w:cs="B Nazanin"/>
          <w:sz w:val="28"/>
          <w:szCs w:val="28"/>
          <w:lang w:bidi="fa-IR"/>
        </w:rPr>
        <w:t>Rayleigh</w:t>
      </w:r>
      <w:r w:rsidRPr="002D6B8F">
        <w:rPr>
          <w:rFonts w:asciiTheme="majorBidi" w:hAnsiTheme="majorBidi" w:cs="B Nazanin"/>
          <w:sz w:val="28"/>
          <w:szCs w:val="28"/>
          <w:rtl/>
          <w:lang w:bidi="fa-IR"/>
        </w:rPr>
        <w:t xml:space="preserve"> كه در مقادير بالاتر از آن ، انتقال طبيعي گرما اثر گذار مي شود ، نيز داده شده است. </w:t>
      </w:r>
    </w:p>
    <w:p w:rsidR="00B605C6" w:rsidRPr="002D6B8F" w:rsidRDefault="00B605C6" w:rsidP="00B605C6">
      <w:pPr>
        <w:bidi/>
        <w:spacing w:line="360" w:lineRule="auto"/>
        <w:ind w:left="1701" w:right="1134"/>
        <w:jc w:val="highKashida"/>
        <w:rPr>
          <w:rFonts w:asciiTheme="majorBidi" w:hAnsiTheme="majorBidi" w:cs="B Nazanin"/>
          <w:b/>
          <w:bCs/>
          <w:sz w:val="28"/>
          <w:szCs w:val="28"/>
          <w:rtl/>
          <w:lang w:bidi="fa-IR"/>
        </w:rPr>
      </w:pPr>
      <w:r w:rsidRPr="002D6B8F">
        <w:rPr>
          <w:rFonts w:asciiTheme="majorBidi" w:hAnsiTheme="majorBidi" w:cs="B Nazanin"/>
          <w:b/>
          <w:bCs/>
          <w:sz w:val="28"/>
          <w:szCs w:val="28"/>
          <w:rtl/>
          <w:lang w:bidi="fa-IR"/>
        </w:rPr>
        <w:t xml:space="preserve">1-  مقدمه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sz w:val="28"/>
          <w:szCs w:val="28"/>
          <w:rtl/>
          <w:lang w:bidi="fa-IR"/>
        </w:rPr>
        <w:t xml:space="preserve">انتقال گرما در مجموعه ميله افقي پوشش داده شده ، در گذشته به علت كاربردهاي تكنولوژيكي در زمينه هايي مانند بشكه هاي سوخت هسته اي </w:t>
      </w:r>
      <w:r w:rsidRPr="002D6B8F">
        <w:rPr>
          <w:rFonts w:asciiTheme="majorBidi" w:hAnsiTheme="majorBidi" w:cs="B Nazanin"/>
          <w:sz w:val="28"/>
          <w:szCs w:val="28"/>
          <w:lang w:bidi="fa-IR"/>
        </w:rPr>
        <w:t>spent</w:t>
      </w:r>
      <w:r w:rsidRPr="002D6B8F">
        <w:rPr>
          <w:rFonts w:asciiTheme="majorBidi" w:hAnsiTheme="majorBidi" w:cs="B Nazanin"/>
          <w:sz w:val="28"/>
          <w:szCs w:val="28"/>
          <w:rtl/>
          <w:lang w:bidi="fa-IR"/>
        </w:rPr>
        <w:t xml:space="preserve"> رها شده ، سيستم هاي ذخيره گرمايي ، سرد نمودن اجزاي الكترونيك و كابل هاي انتقال الكتريسيته زيرزميني ، به طور گسترده بررسي شده اند. براي مثال بشكه هاي سوخت هسته اي </w:t>
      </w:r>
      <w:r w:rsidRPr="002D6B8F">
        <w:rPr>
          <w:rFonts w:asciiTheme="majorBidi" w:hAnsiTheme="majorBidi" w:cs="B Nazanin"/>
          <w:sz w:val="28"/>
          <w:szCs w:val="28"/>
          <w:lang w:bidi="fa-IR"/>
        </w:rPr>
        <w:t>spent</w:t>
      </w:r>
      <w:r w:rsidRPr="002D6B8F">
        <w:rPr>
          <w:rFonts w:asciiTheme="majorBidi" w:hAnsiTheme="majorBidi" w:cs="B Nazanin"/>
          <w:sz w:val="28"/>
          <w:szCs w:val="28"/>
          <w:rtl/>
          <w:lang w:bidi="fa-IR"/>
        </w:rPr>
        <w:t xml:space="preserve"> متشكل از يك يا چند قوطي مدور ، مربع يا شش ضلعي ، حاوي مجموعه هايي از ميله هاي سوختي مي باشند. در چنين سيستم هايي ، تابش و انتقال طبيعي گرما اغلب حالت هاي ترجيحي انتشار گرما هستند ؛ زيرا آنها انفعالي ، ارزان ، قابل اعتماد و روش هاي انتقال گرماي فاقد صدا مي باشند. انتقال گرماي توأم به تجمع دو يا چند فرايند انتقال نظير رسانايي در جسم سخت ، انتقال گرما در مايع اطراف جسم و تابش ميان سطوح ژئومتري اشاره دارد. در پيشينه ، مطالعاتي در مورد انتقال طبيعي گرما روي چارچوب هاي حاوي هم مجموعه هاي تنها و هم چندگانه گزارش شده است.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noProof/>
          <w:sz w:val="28"/>
          <w:szCs w:val="28"/>
        </w:rPr>
        <w:lastRenderedPageBreak/>
        <w:drawing>
          <wp:inline distT="0" distB="0" distL="0" distR="0">
            <wp:extent cx="4755239" cy="6114553"/>
            <wp:effectExtent l="19050" t="0" r="72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7858" cy="6117921"/>
                    </a:xfrm>
                    <a:prstGeom prst="rect">
                      <a:avLst/>
                    </a:prstGeom>
                    <a:noFill/>
                    <a:ln w="9525">
                      <a:noFill/>
                      <a:miter lim="800000"/>
                      <a:headEnd/>
                      <a:tailEnd/>
                    </a:ln>
                  </pic:spPr>
                </pic:pic>
              </a:graphicData>
            </a:graphic>
          </wp:inline>
        </w:drawing>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noProof/>
          <w:sz w:val="28"/>
          <w:szCs w:val="28"/>
        </w:rPr>
        <w:lastRenderedPageBreak/>
        <w:drawing>
          <wp:inline distT="0" distB="0" distL="0" distR="0">
            <wp:extent cx="3665855" cy="3212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3212465"/>
                    </a:xfrm>
                    <a:prstGeom prst="rect">
                      <a:avLst/>
                    </a:prstGeom>
                    <a:noFill/>
                    <a:ln w="9525">
                      <a:noFill/>
                      <a:miter lim="800000"/>
                      <a:headEnd/>
                      <a:tailEnd/>
                    </a:ln>
                  </pic:spPr>
                </pic:pic>
              </a:graphicData>
            </a:graphic>
          </wp:inline>
        </w:drawing>
      </w:r>
      <w:r w:rsidRPr="002D6B8F">
        <w:rPr>
          <w:rFonts w:asciiTheme="majorBidi" w:hAnsiTheme="majorBidi" w:cs="B Nazanin" w:hint="cs"/>
          <w:sz w:val="28"/>
          <w:szCs w:val="28"/>
          <w:rtl/>
          <w:lang w:bidi="fa-IR"/>
        </w:rPr>
        <w:t xml:space="preserve">شکل 1-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sz w:val="28"/>
          <w:szCs w:val="28"/>
          <w:rtl/>
          <w:lang w:bidi="fa-IR"/>
        </w:rPr>
        <w:t xml:space="preserve">(1980) </w:t>
      </w:r>
      <w:proofErr w:type="spellStart"/>
      <w:r w:rsidRPr="002D6B8F">
        <w:rPr>
          <w:rFonts w:asciiTheme="majorBidi" w:hAnsiTheme="majorBidi" w:cs="B Nazanin"/>
          <w:sz w:val="28"/>
          <w:szCs w:val="28"/>
          <w:lang w:bidi="fa-IR"/>
        </w:rPr>
        <w:t>Powe</w:t>
      </w:r>
      <w:proofErr w:type="spellEnd"/>
      <w:r w:rsidRPr="002D6B8F">
        <w:rPr>
          <w:rFonts w:asciiTheme="majorBidi" w:hAnsiTheme="majorBidi" w:cs="B Nazanin"/>
          <w:sz w:val="28"/>
          <w:szCs w:val="28"/>
          <w:rtl/>
          <w:lang w:bidi="fa-IR"/>
        </w:rPr>
        <w:t xml:space="preserve"> و (1985) </w:t>
      </w:r>
      <w:r w:rsidRPr="002D6B8F">
        <w:rPr>
          <w:rFonts w:asciiTheme="majorBidi" w:hAnsiTheme="majorBidi" w:cs="B Nazanin"/>
          <w:sz w:val="28"/>
          <w:szCs w:val="28"/>
          <w:lang w:bidi="fa-IR"/>
        </w:rPr>
        <w:t xml:space="preserve">Warrington &amp; </w:t>
      </w:r>
      <w:proofErr w:type="spellStart"/>
      <w:r w:rsidRPr="002D6B8F">
        <w:rPr>
          <w:rFonts w:asciiTheme="majorBidi" w:hAnsiTheme="majorBidi" w:cs="B Nazanin"/>
          <w:sz w:val="28"/>
          <w:szCs w:val="28"/>
          <w:lang w:bidi="fa-IR"/>
        </w:rPr>
        <w:t>Powe</w:t>
      </w:r>
      <w:proofErr w:type="spellEnd"/>
      <w:r w:rsidRPr="002D6B8F">
        <w:rPr>
          <w:rFonts w:asciiTheme="majorBidi" w:hAnsiTheme="majorBidi" w:cs="B Nazanin"/>
          <w:sz w:val="28"/>
          <w:szCs w:val="28"/>
          <w:rtl/>
          <w:lang w:bidi="fa-IR"/>
        </w:rPr>
        <w:t xml:space="preserve"> ، (1990) </w:t>
      </w:r>
      <w:r w:rsidRPr="002D6B8F">
        <w:rPr>
          <w:rFonts w:asciiTheme="majorBidi" w:hAnsiTheme="majorBidi" w:cs="B Nazanin"/>
          <w:sz w:val="28"/>
          <w:szCs w:val="28"/>
          <w:lang w:bidi="fa-IR"/>
        </w:rPr>
        <w:t>Weaver</w:t>
      </w:r>
      <w:r w:rsidRPr="002D6B8F">
        <w:rPr>
          <w:rFonts w:asciiTheme="majorBidi" w:hAnsiTheme="majorBidi" w:cs="B Nazanin"/>
          <w:sz w:val="28"/>
          <w:szCs w:val="28"/>
          <w:rtl/>
          <w:lang w:bidi="fa-IR"/>
        </w:rPr>
        <w:t xml:space="preserve"> به طور تجربي جريان انتقال طبيعي ميان بدنه هاي مكعبي ، استوانه اي و كروي كه توسط چارچوب هاي مكعبي يا كروي پيوست شده اند را بررسي كردند. (1994) </w:t>
      </w:r>
      <w:r w:rsidRPr="002D6B8F">
        <w:rPr>
          <w:rFonts w:asciiTheme="majorBidi" w:hAnsiTheme="majorBidi" w:cs="B Nazanin"/>
          <w:sz w:val="28"/>
          <w:szCs w:val="28"/>
          <w:lang w:bidi="fa-IR"/>
        </w:rPr>
        <w:t>Ho</w:t>
      </w:r>
      <w:r w:rsidRPr="002D6B8F">
        <w:rPr>
          <w:rFonts w:asciiTheme="majorBidi" w:hAnsiTheme="majorBidi" w:cs="B Nazanin"/>
          <w:sz w:val="28"/>
          <w:szCs w:val="28"/>
          <w:rtl/>
          <w:lang w:bidi="fa-IR"/>
        </w:rPr>
        <w:t xml:space="preserve"> مطالعات انتقال طبيعي گرما ميان دو سيلندر توليد كننده ي گرماي جسم جامد يا سخت افقي را درون يك چارچوب دايره اي ، ارائه داده است.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sz w:val="28"/>
          <w:szCs w:val="28"/>
          <w:rtl/>
          <w:lang w:bidi="fa-IR"/>
        </w:rPr>
        <w:t xml:space="preserve">انتقال تابشي گرما نيز به هنگام بررسي تفاوت هاي دمايي زياد ميان ميله هاي موازي ، مهم مي باشد. (1963) </w:t>
      </w:r>
      <w:proofErr w:type="spellStart"/>
      <w:r w:rsidRPr="002D6B8F">
        <w:rPr>
          <w:rFonts w:asciiTheme="majorBidi" w:hAnsiTheme="majorBidi" w:cs="B Nazanin"/>
          <w:sz w:val="28"/>
          <w:szCs w:val="28"/>
          <w:lang w:bidi="fa-IR"/>
        </w:rPr>
        <w:t>Klepper</w:t>
      </w:r>
      <w:proofErr w:type="spellEnd"/>
      <w:r w:rsidRPr="002D6B8F">
        <w:rPr>
          <w:rFonts w:asciiTheme="majorBidi" w:hAnsiTheme="majorBidi" w:cs="B Nazanin"/>
          <w:sz w:val="28"/>
          <w:szCs w:val="28"/>
          <w:rtl/>
          <w:lang w:bidi="fa-IR"/>
        </w:rPr>
        <w:t xml:space="preserve"> از الگوريتم رديابي اشعه </w:t>
      </w:r>
      <w:r w:rsidRPr="002D6B8F">
        <w:rPr>
          <w:rFonts w:asciiTheme="majorBidi" w:hAnsiTheme="majorBidi" w:cs="B Nazanin"/>
          <w:sz w:val="28"/>
          <w:szCs w:val="28"/>
          <w:lang w:bidi="fa-IR"/>
        </w:rPr>
        <w:t>Monte Carlo</w:t>
      </w:r>
      <w:r w:rsidRPr="002D6B8F">
        <w:rPr>
          <w:rFonts w:asciiTheme="majorBidi" w:hAnsiTheme="majorBidi" w:cs="B Nazanin"/>
          <w:sz w:val="28"/>
          <w:szCs w:val="28"/>
          <w:rtl/>
          <w:lang w:bidi="fa-IR"/>
        </w:rPr>
        <w:t xml:space="preserve"> براي يافتن فاكتورهاي تبادل ساطع در يك صف ميله ها استفاده كرد. (1976) </w:t>
      </w:r>
      <w:r w:rsidRPr="002D6B8F">
        <w:rPr>
          <w:rFonts w:asciiTheme="majorBidi" w:hAnsiTheme="majorBidi" w:cs="B Nazanin"/>
          <w:sz w:val="28"/>
          <w:szCs w:val="28"/>
          <w:lang w:bidi="fa-IR"/>
        </w:rPr>
        <w:t>Cox</w:t>
      </w:r>
      <w:r w:rsidRPr="002D6B8F">
        <w:rPr>
          <w:rFonts w:asciiTheme="majorBidi" w:hAnsiTheme="majorBidi" w:cs="B Nazanin"/>
          <w:sz w:val="28"/>
          <w:szCs w:val="28"/>
          <w:rtl/>
          <w:lang w:bidi="fa-IR"/>
        </w:rPr>
        <w:t xml:space="preserve"> انتقال تابشي گرما را در ميله هاي </w:t>
      </w:r>
      <w:r w:rsidRPr="002D6B8F">
        <w:rPr>
          <w:rFonts w:asciiTheme="majorBidi" w:hAnsiTheme="majorBidi" w:cs="B Nazanin"/>
          <w:sz w:val="28"/>
          <w:szCs w:val="28"/>
          <w:rtl/>
          <w:lang w:bidi="fa-IR"/>
        </w:rPr>
        <w:lastRenderedPageBreak/>
        <w:t xml:space="preserve">موازي به طور تئوري و عملي (تجربي) بررسي كرده و روابطي را براي عوامل ساختاري ميان ميله ها به دست آورد. (1978) </w:t>
      </w:r>
      <w:r w:rsidRPr="002D6B8F">
        <w:rPr>
          <w:rFonts w:asciiTheme="majorBidi" w:hAnsiTheme="majorBidi" w:cs="B Nazanin"/>
          <w:sz w:val="28"/>
          <w:szCs w:val="28"/>
          <w:lang w:bidi="fa-IR"/>
        </w:rPr>
        <w:t>Reilly</w:t>
      </w:r>
      <w:r w:rsidRPr="002D6B8F">
        <w:rPr>
          <w:rFonts w:asciiTheme="majorBidi" w:hAnsiTheme="majorBidi" w:cs="B Nazanin"/>
          <w:sz w:val="28"/>
          <w:szCs w:val="28"/>
          <w:rtl/>
          <w:lang w:bidi="fa-IR"/>
        </w:rPr>
        <w:t xml:space="preserve"> تأثير تابش گرمايي را روي انتشار دما در ميله هاي سوختي بررسي نمود.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proofErr w:type="spellStart"/>
      <w:r w:rsidRPr="002D6B8F">
        <w:rPr>
          <w:rFonts w:asciiTheme="majorBidi" w:hAnsiTheme="majorBidi" w:cs="B Nazanin"/>
          <w:sz w:val="28"/>
          <w:szCs w:val="28"/>
          <w:lang w:bidi="fa-IR"/>
        </w:rPr>
        <w:t>Keyhani</w:t>
      </w:r>
      <w:proofErr w:type="spellEnd"/>
      <w:r w:rsidRPr="002D6B8F">
        <w:rPr>
          <w:rFonts w:asciiTheme="majorBidi" w:hAnsiTheme="majorBidi" w:cs="B Nazanin"/>
          <w:sz w:val="28"/>
          <w:szCs w:val="28"/>
          <w:rtl/>
          <w:lang w:bidi="fa-IR"/>
        </w:rPr>
        <w:t xml:space="preserve"> كيهاني و همكارانش</w:t>
      </w:r>
      <w:proofErr w:type="spellStart"/>
      <w:r w:rsidRPr="002D6B8F">
        <w:rPr>
          <w:rFonts w:asciiTheme="majorBidi" w:hAnsiTheme="majorBidi" w:cs="B Nazanin"/>
          <w:sz w:val="28"/>
          <w:szCs w:val="28"/>
          <w:lang w:bidi="fa-IR"/>
        </w:rPr>
        <w:t>Arya</w:t>
      </w:r>
      <w:proofErr w:type="spellEnd"/>
      <w:r w:rsidRPr="002D6B8F">
        <w:rPr>
          <w:rFonts w:asciiTheme="majorBidi" w:hAnsiTheme="majorBidi" w:cs="B Nazanin"/>
          <w:sz w:val="28"/>
          <w:szCs w:val="28"/>
          <w:lang w:bidi="fa-IR"/>
        </w:rPr>
        <w:t xml:space="preserve"> &amp; Keyhani1990)</w:t>
      </w:r>
      <w:r w:rsidRPr="002D6B8F">
        <w:rPr>
          <w:rFonts w:asciiTheme="majorBidi" w:hAnsiTheme="majorBidi" w:cs="B Nazanin"/>
          <w:sz w:val="28"/>
          <w:szCs w:val="28"/>
          <w:rtl/>
          <w:lang w:bidi="fa-IR"/>
        </w:rPr>
        <w:t xml:space="preserve"> ، </w:t>
      </w:r>
      <w:proofErr w:type="spellStart"/>
      <w:r w:rsidRPr="002D6B8F">
        <w:rPr>
          <w:rFonts w:asciiTheme="majorBidi" w:hAnsiTheme="majorBidi" w:cs="B Nazanin"/>
          <w:sz w:val="28"/>
          <w:szCs w:val="28"/>
          <w:lang w:bidi="fa-IR"/>
        </w:rPr>
        <w:t>Keyhani</w:t>
      </w:r>
      <w:proofErr w:type="spellEnd"/>
      <w:r w:rsidRPr="002D6B8F">
        <w:rPr>
          <w:rFonts w:asciiTheme="majorBidi" w:hAnsiTheme="majorBidi" w:cs="B Nazanin"/>
          <w:sz w:val="28"/>
          <w:szCs w:val="28"/>
          <w:lang w:bidi="fa-IR"/>
        </w:rPr>
        <w:t xml:space="preserve"> &amp; </w:t>
      </w:r>
      <w:proofErr w:type="spellStart"/>
      <w:r w:rsidRPr="002D6B8F">
        <w:rPr>
          <w:rFonts w:asciiTheme="majorBidi" w:hAnsiTheme="majorBidi" w:cs="B Nazanin"/>
          <w:sz w:val="28"/>
          <w:szCs w:val="28"/>
          <w:lang w:bidi="fa-IR"/>
        </w:rPr>
        <w:t>Luo</w:t>
      </w:r>
      <w:proofErr w:type="spellEnd"/>
      <w:r w:rsidRPr="002D6B8F">
        <w:rPr>
          <w:rFonts w:asciiTheme="majorBidi" w:hAnsiTheme="majorBidi" w:cs="B Nazanin"/>
          <w:sz w:val="28"/>
          <w:szCs w:val="28"/>
          <w:lang w:bidi="fa-IR"/>
        </w:rPr>
        <w:t xml:space="preserve"> 1995</w:t>
      </w:r>
      <w:r w:rsidRPr="002D6B8F">
        <w:rPr>
          <w:rFonts w:asciiTheme="majorBidi" w:hAnsiTheme="majorBidi" w:cs="B Nazanin"/>
          <w:sz w:val="28"/>
          <w:szCs w:val="28"/>
          <w:rtl/>
          <w:lang w:bidi="fa-IR"/>
        </w:rPr>
        <w:t xml:space="preserve"> ، </w:t>
      </w:r>
      <w:proofErr w:type="spellStart"/>
      <w:r w:rsidRPr="002D6B8F">
        <w:rPr>
          <w:rFonts w:asciiTheme="majorBidi" w:hAnsiTheme="majorBidi" w:cs="B Nazanin"/>
          <w:sz w:val="28"/>
          <w:szCs w:val="28"/>
          <w:lang w:bidi="fa-IR"/>
        </w:rPr>
        <w:t>Keyhani</w:t>
      </w:r>
      <w:proofErr w:type="spellEnd"/>
      <w:r w:rsidRPr="002D6B8F">
        <w:rPr>
          <w:rFonts w:asciiTheme="majorBidi" w:hAnsiTheme="majorBidi" w:cs="B Nazanin"/>
          <w:sz w:val="28"/>
          <w:szCs w:val="28"/>
          <w:lang w:bidi="fa-IR"/>
        </w:rPr>
        <w:t xml:space="preserve"> &amp; Dalton 1996</w:t>
      </w:r>
      <w:r w:rsidRPr="002D6B8F">
        <w:rPr>
          <w:rFonts w:asciiTheme="majorBidi" w:hAnsiTheme="majorBidi" w:cs="B Nazanin"/>
          <w:sz w:val="28"/>
          <w:szCs w:val="28"/>
          <w:rtl/>
          <w:lang w:bidi="fa-IR"/>
        </w:rPr>
        <w:t xml:space="preserve"> </w:t>
      </w:r>
      <w:proofErr w:type="gramStart"/>
      <w:r w:rsidRPr="002D6B8F">
        <w:rPr>
          <w:rFonts w:asciiTheme="majorBidi" w:hAnsiTheme="majorBidi" w:cs="B Nazanin"/>
          <w:sz w:val="28"/>
          <w:szCs w:val="28"/>
          <w:lang w:bidi="fa-IR"/>
        </w:rPr>
        <w:t>(</w:t>
      </w:r>
      <w:r w:rsidRPr="002D6B8F">
        <w:rPr>
          <w:rFonts w:asciiTheme="majorBidi" w:hAnsiTheme="majorBidi" w:cs="B Nazanin"/>
          <w:sz w:val="28"/>
          <w:szCs w:val="28"/>
          <w:rtl/>
          <w:lang w:bidi="fa-IR"/>
        </w:rPr>
        <w:t xml:space="preserve"> انتقال</w:t>
      </w:r>
      <w:proofErr w:type="gramEnd"/>
      <w:r w:rsidRPr="002D6B8F">
        <w:rPr>
          <w:rFonts w:asciiTheme="majorBidi" w:hAnsiTheme="majorBidi" w:cs="B Nazanin"/>
          <w:sz w:val="28"/>
          <w:szCs w:val="28"/>
          <w:rtl/>
          <w:lang w:bidi="fa-IR"/>
        </w:rPr>
        <w:t xml:space="preserve"> گرماي طبيعي را در دسته هاي ميله اي افقي واقع در چارچوب با اندازه هاي صف 3×3 ، 5×5 ، 7×7 و 9×9 به همراه يك نسبت </w:t>
      </w:r>
      <w:r w:rsidRPr="002D6B8F">
        <w:rPr>
          <w:rFonts w:asciiTheme="majorBidi" w:hAnsiTheme="majorBidi" w:cs="B Nazanin"/>
          <w:sz w:val="28"/>
          <w:szCs w:val="28"/>
          <w:lang w:bidi="fa-IR"/>
        </w:rPr>
        <w:t>pitch</w:t>
      </w:r>
      <w:r w:rsidRPr="002D6B8F">
        <w:rPr>
          <w:rFonts w:asciiTheme="majorBidi" w:hAnsiTheme="majorBidi" w:cs="B Nazanin"/>
          <w:sz w:val="28"/>
          <w:szCs w:val="28"/>
          <w:rtl/>
          <w:lang w:bidi="fa-IR"/>
        </w:rPr>
        <w:t xml:space="preserve"> به قطر 35/1 بررسي كردند. آنها يك رابطه عمومي براي هر صف را براي سه رژيم به نام رسانايي ، انتقال و انتقال گرما (برق) ارائه دادند. </w:t>
      </w:r>
    </w:p>
    <w:p w:rsidR="00B605C6" w:rsidRPr="002D6B8F" w:rsidRDefault="00B605C6" w:rsidP="00B605C6">
      <w:pPr>
        <w:bidi/>
        <w:spacing w:line="360" w:lineRule="auto"/>
        <w:ind w:left="1701" w:right="1134"/>
        <w:jc w:val="highKashida"/>
        <w:rPr>
          <w:rFonts w:asciiTheme="majorBidi" w:hAnsiTheme="majorBidi" w:cs="B Nazanin"/>
          <w:sz w:val="28"/>
          <w:szCs w:val="28"/>
          <w:rtl/>
          <w:lang w:bidi="fa-IR"/>
        </w:rPr>
      </w:pPr>
      <w:r w:rsidRPr="002D6B8F">
        <w:rPr>
          <w:rFonts w:asciiTheme="majorBidi" w:hAnsiTheme="majorBidi" w:cs="B Nazanin"/>
          <w:sz w:val="28"/>
          <w:szCs w:val="28"/>
          <w:rtl/>
          <w:lang w:bidi="fa-IR"/>
        </w:rPr>
        <w:t xml:space="preserve">نتايج تجربي بعدا با نتايج عددي انتشار فلاكس جريان گرمايي ثابت ميله ها مقايسه شدند. پس از آن تأثير پره هاي داخلي نيز روي انتقال گرما در يك مدل مقياس بندي شده از بشكه ذخيره ، بررسي شد. </w:t>
      </w:r>
    </w:p>
    <w:p w:rsidR="00621396" w:rsidRDefault="00621396"/>
    <w:sectPr w:rsidR="00621396" w:rsidSect="00B605C6">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B605C6"/>
    <w:rsid w:val="00621396"/>
    <w:rsid w:val="008F3EDF"/>
    <w:rsid w:val="00B605C6"/>
    <w:rsid w:val="00F323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baghalam kon</dc:creator>
  <cp:keywords/>
  <dc:description/>
  <cp:lastModifiedBy>baghalam kon</cp:lastModifiedBy>
  <cp:revision>2</cp:revision>
  <dcterms:created xsi:type="dcterms:W3CDTF">2015-10-20T08:39:00Z</dcterms:created>
  <dcterms:modified xsi:type="dcterms:W3CDTF">2015-10-20T08:39:00Z</dcterms:modified>
</cp:coreProperties>
</file>